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3D2" w:rsidRPr="005E3D84" w:rsidRDefault="0078452B" w:rsidP="00165DD5">
      <w:pPr>
        <w:jc w:val="center"/>
        <w:rPr>
          <w:b/>
        </w:rPr>
      </w:pPr>
      <w:r w:rsidRPr="005E3D84">
        <w:rPr>
          <w:b/>
        </w:rPr>
        <w:t>Phụ lụ</w:t>
      </w:r>
      <w:r w:rsidR="00650C2E" w:rsidRPr="005E3D84">
        <w:rPr>
          <w:b/>
        </w:rPr>
        <w:t>c</w:t>
      </w:r>
      <w:r w:rsidRPr="005E3D84">
        <w:rPr>
          <w:b/>
        </w:rPr>
        <w:t>. ĐỀ CƯƠNG GỢI Ý BÁO CÁO</w:t>
      </w:r>
    </w:p>
    <w:p w:rsidR="0078452B" w:rsidRDefault="0078452B" w:rsidP="00165DD5">
      <w:pPr>
        <w:jc w:val="center"/>
        <w:rPr>
          <w:b/>
        </w:rPr>
      </w:pPr>
      <w:r w:rsidRPr="005E3D84">
        <w:rPr>
          <w:b/>
        </w:rPr>
        <w:t xml:space="preserve">CỦA </w:t>
      </w:r>
      <w:r w:rsidR="00650C2E" w:rsidRPr="005E3D84">
        <w:rPr>
          <w:b/>
        </w:rPr>
        <w:t>UBND CÁC HUYỆN, THÀNH PHỐ</w:t>
      </w:r>
    </w:p>
    <w:p w:rsidR="00165DD5" w:rsidRPr="005E3D84" w:rsidRDefault="00165DD5" w:rsidP="00165DD5">
      <w:pPr>
        <w:jc w:val="center"/>
        <w:rPr>
          <w:b/>
        </w:rPr>
      </w:pPr>
    </w:p>
    <w:p w:rsidR="00165DD5" w:rsidRDefault="005F33EA" w:rsidP="00165DD5">
      <w:pPr>
        <w:jc w:val="center"/>
        <w:rPr>
          <w:b/>
        </w:rPr>
      </w:pPr>
      <w:r w:rsidRPr="005E3D84">
        <w:rPr>
          <w:b/>
        </w:rPr>
        <w:t xml:space="preserve">Tình hình triển khai thực hiện </w:t>
      </w:r>
      <w:bookmarkStart w:id="0" w:name="_Hlk131449591"/>
      <w:r w:rsidR="00AD7C20" w:rsidRPr="005E3D84">
        <w:rPr>
          <w:b/>
        </w:rPr>
        <w:t xml:space="preserve">Nghị quyết số </w:t>
      </w:r>
      <w:bookmarkEnd w:id="0"/>
      <w:r w:rsidR="00AD7C20" w:rsidRPr="005E3D84">
        <w:rPr>
          <w:b/>
        </w:rPr>
        <w:t>36-NQ/TU ngày 25/6/2021</w:t>
      </w:r>
    </w:p>
    <w:p w:rsidR="00165DD5" w:rsidRDefault="00AD7C20" w:rsidP="00165DD5">
      <w:pPr>
        <w:jc w:val="center"/>
        <w:rPr>
          <w:b/>
        </w:rPr>
      </w:pPr>
      <w:r w:rsidRPr="005E3D84">
        <w:rPr>
          <w:b/>
        </w:rPr>
        <w:t xml:space="preserve"> của Ban Thường vụ Tỉnh uỷ </w:t>
      </w:r>
      <w:r w:rsidR="00165DD5" w:rsidRPr="00165DD5">
        <w:rPr>
          <w:b/>
          <w:lang w:val="fi-FI"/>
        </w:rPr>
        <w:t xml:space="preserve">và Kế hoạch số 192/KH-UBND ngày 27/9/2021 của UBND tỉnh </w:t>
      </w:r>
      <w:r w:rsidRPr="005E3D84">
        <w:rPr>
          <w:b/>
        </w:rPr>
        <w:t>về phát triển thương mại, dịch vụ tỉnh Lạng Sơn đến năm 2025, định hướng đến năm 2030 trong lĩnh vực thương mại</w:t>
      </w:r>
    </w:p>
    <w:p w:rsidR="00A003D2" w:rsidRPr="005E3D84" w:rsidRDefault="00AD7C20" w:rsidP="00165DD5">
      <w:pPr>
        <w:jc w:val="center"/>
      </w:pPr>
      <w:r w:rsidRPr="005E3D84">
        <w:rPr>
          <w:b/>
        </w:rPr>
        <w:t xml:space="preserve"> trên địa bàn tỉnh Lạng Sơn</w:t>
      </w:r>
    </w:p>
    <w:p w:rsidR="00AD7C20" w:rsidRPr="005E3D84" w:rsidRDefault="00AD7C20" w:rsidP="00165DD5">
      <w:pPr>
        <w:jc w:val="both"/>
        <w:rPr>
          <w:highlight w:val="white"/>
        </w:rPr>
      </w:pPr>
    </w:p>
    <w:p w:rsidR="002A42B1" w:rsidRPr="005E3D84" w:rsidRDefault="003F3465" w:rsidP="0091386C">
      <w:pPr>
        <w:spacing w:before="120"/>
        <w:ind w:firstLine="709"/>
        <w:jc w:val="both"/>
        <w:rPr>
          <w:b/>
          <w:highlight w:val="white"/>
        </w:rPr>
      </w:pPr>
      <w:r w:rsidRPr="005E3D84">
        <w:rPr>
          <w:b/>
          <w:highlight w:val="white"/>
        </w:rPr>
        <w:t>I</w:t>
      </w:r>
      <w:r w:rsidR="00166D6B" w:rsidRPr="005E3D84">
        <w:rPr>
          <w:b/>
          <w:highlight w:val="white"/>
        </w:rPr>
        <w:t xml:space="preserve">. </w:t>
      </w:r>
      <w:r w:rsidR="004A04F8" w:rsidRPr="005E3D84">
        <w:rPr>
          <w:b/>
          <w:highlight w:val="white"/>
        </w:rPr>
        <w:t>CÔNG TÁC LÃNH ĐẠO, CHỈ ĐẠO</w:t>
      </w:r>
    </w:p>
    <w:p w:rsidR="004A04F8" w:rsidRPr="005E3D84" w:rsidRDefault="004A04F8" w:rsidP="0091386C">
      <w:pPr>
        <w:spacing w:before="120"/>
        <w:ind w:firstLine="709"/>
        <w:jc w:val="both"/>
      </w:pPr>
      <w:r w:rsidRPr="005E3D84">
        <w:t>Công tác, lãnh đạo, chỉ đạo tổ chức thực hiện Nghị quyết</w:t>
      </w:r>
      <w:r w:rsidR="00061FEE" w:rsidRPr="005E3D84">
        <w:t xml:space="preserve"> số 36-NQ/TU</w:t>
      </w:r>
      <w:r w:rsidR="00165DD5">
        <w:t xml:space="preserve">, </w:t>
      </w:r>
      <w:r w:rsidR="00165DD5" w:rsidRPr="00165DD5">
        <w:rPr>
          <w:lang w:val="fi-FI"/>
        </w:rPr>
        <w:t>Kế hoạch số 192/KH-UBND</w:t>
      </w:r>
      <w:r w:rsidRPr="005E3D84">
        <w:t>:</w:t>
      </w:r>
      <w:r w:rsidRPr="005E3D84">
        <w:t xml:space="preserve"> ban hành văn bản chỉ đạo (Chương trình, kế hoạch, văn bản điều hành...); công tác chỉ đạo lồng ghép các nội dung của Nghị quyết trong các kế hoạch, chương trình thực hiện hàng năm.</w:t>
      </w:r>
    </w:p>
    <w:p w:rsidR="004A04F8" w:rsidRPr="005E3D84" w:rsidRDefault="004A04F8" w:rsidP="0091386C">
      <w:pPr>
        <w:spacing w:before="120"/>
        <w:ind w:firstLine="709"/>
        <w:jc w:val="both"/>
        <w:rPr>
          <w:b/>
          <w:highlight w:val="white"/>
        </w:rPr>
      </w:pPr>
      <w:r w:rsidRPr="005E3D84">
        <w:rPr>
          <w:b/>
          <w:highlight w:val="white"/>
        </w:rPr>
        <w:t>II. KẾT QUẢ THỰC HIỆN</w:t>
      </w:r>
    </w:p>
    <w:p w:rsidR="004A04F8" w:rsidRPr="005E3D84" w:rsidRDefault="004A04F8" w:rsidP="0091386C">
      <w:pPr>
        <w:spacing w:before="120"/>
        <w:ind w:firstLine="709"/>
        <w:jc w:val="both"/>
        <w:rPr>
          <w:b/>
          <w:highlight w:val="white"/>
        </w:rPr>
      </w:pPr>
      <w:r w:rsidRPr="005E3D84">
        <w:rPr>
          <w:b/>
          <w:highlight w:val="white"/>
        </w:rPr>
        <w:t xml:space="preserve">1. Kết quả thực hiện các mục tiêu </w:t>
      </w:r>
      <w:r w:rsidR="00061FEE" w:rsidRPr="005E3D84">
        <w:rPr>
          <w:b/>
          <w:highlight w:val="white"/>
        </w:rPr>
        <w:t xml:space="preserve">của </w:t>
      </w:r>
      <w:r w:rsidRPr="005E3D84">
        <w:rPr>
          <w:b/>
          <w:highlight w:val="white"/>
        </w:rPr>
        <w:t xml:space="preserve">Nghị quyết </w:t>
      </w:r>
      <w:r w:rsidR="00061FEE" w:rsidRPr="005E3D84">
        <w:rPr>
          <w:b/>
        </w:rPr>
        <w:t>số 36-NQ/TU</w:t>
      </w:r>
      <w:r w:rsidR="00165DD5">
        <w:rPr>
          <w:b/>
        </w:rPr>
        <w:t xml:space="preserve"> và </w:t>
      </w:r>
      <w:r w:rsidR="00165DD5" w:rsidRPr="00165DD5">
        <w:rPr>
          <w:b/>
          <w:lang w:val="fi-FI"/>
        </w:rPr>
        <w:t>Kế hoạch số 192/KH-UBND</w:t>
      </w:r>
      <w:r w:rsidR="00061FEE" w:rsidRPr="00165DD5">
        <w:rPr>
          <w:b/>
        </w:rPr>
        <w:t xml:space="preserve"> </w:t>
      </w:r>
      <w:r w:rsidRPr="005E3D84">
        <w:rPr>
          <w:b/>
          <w:highlight w:val="white"/>
        </w:rPr>
        <w:t>trong lĩnh vực thương mại</w:t>
      </w:r>
    </w:p>
    <w:p w:rsidR="004A04F8" w:rsidRPr="005E3D84" w:rsidRDefault="004A04F8" w:rsidP="0091386C">
      <w:pPr>
        <w:spacing w:before="120"/>
        <w:ind w:firstLine="709"/>
        <w:jc w:val="both"/>
      </w:pPr>
      <w:r w:rsidRPr="005E3D84">
        <w:rPr>
          <w:highlight w:val="white"/>
        </w:rPr>
        <w:t xml:space="preserve"> </w:t>
      </w:r>
      <w:r w:rsidRPr="005E3D84">
        <w:t xml:space="preserve">- Đánh giá kết quả thực hiện các chỉ tiêu chủ yếu gồm: Tổng mức lưu chuyển hàng hóa bán lẻ, kim ngạch xuất khẩu </w:t>
      </w:r>
      <w:r w:rsidR="00061FEE" w:rsidRPr="005E3D84">
        <w:t xml:space="preserve">hàng </w:t>
      </w:r>
      <w:r w:rsidRPr="005E3D84">
        <w:t>địa phương.</w:t>
      </w:r>
    </w:p>
    <w:p w:rsidR="004A04F8" w:rsidRPr="005E3D84" w:rsidRDefault="004A04F8" w:rsidP="0091386C">
      <w:pPr>
        <w:spacing w:before="120"/>
        <w:ind w:firstLine="709"/>
        <w:jc w:val="both"/>
      </w:pPr>
      <w:r w:rsidRPr="005E3D84">
        <w:t>- Đánh giá tình hình xây dựng và phát triển hạ tầng thương mại, cụ thể như sau:</w:t>
      </w:r>
    </w:p>
    <w:p w:rsidR="004A04F8" w:rsidRPr="005E3D84" w:rsidRDefault="004A04F8" w:rsidP="0091386C">
      <w:pPr>
        <w:spacing w:before="120"/>
        <w:ind w:firstLine="709"/>
        <w:jc w:val="both"/>
      </w:pPr>
      <w:r w:rsidRPr="005E3D84">
        <w:t>+ Số liệu đầu tư xây dựng chợ, trung tâm thương mại, siêu thị, trung tâm hội chợ triển lãm thương mại, trung tâm dịch vụ logistics…</w:t>
      </w:r>
    </w:p>
    <w:p w:rsidR="004A04F8" w:rsidRPr="005E3D84" w:rsidRDefault="004A04F8" w:rsidP="0091386C">
      <w:pPr>
        <w:spacing w:before="120"/>
        <w:ind w:firstLine="709"/>
        <w:jc w:val="both"/>
      </w:pPr>
      <w:r w:rsidRPr="005E3D84">
        <w:t xml:space="preserve">+ </w:t>
      </w:r>
      <w:r w:rsidRPr="0091386C">
        <w:rPr>
          <w:spacing w:val="-10"/>
        </w:rPr>
        <w:t>Số liệu ứng dụng thương mại điện tử, mua sắm bằng hình thức trực tuyến…</w:t>
      </w:r>
    </w:p>
    <w:p w:rsidR="004A04F8" w:rsidRPr="005E3D84" w:rsidRDefault="004A04F8" w:rsidP="0091386C">
      <w:pPr>
        <w:spacing w:before="120"/>
        <w:ind w:firstLine="709"/>
        <w:jc w:val="both"/>
      </w:pPr>
      <w:r w:rsidRPr="005E3D84">
        <w:t xml:space="preserve">+ </w:t>
      </w:r>
      <w:r w:rsidRPr="0091386C">
        <w:rPr>
          <w:spacing w:val="-10"/>
        </w:rPr>
        <w:t>Triển khai xây dựng Điểm giới thiệu và bán sản phẩm OCOP trên địa bàn.</w:t>
      </w:r>
    </w:p>
    <w:p w:rsidR="004A04F8" w:rsidRPr="005E3D84" w:rsidRDefault="004A04F8" w:rsidP="0091386C">
      <w:pPr>
        <w:spacing w:before="120"/>
        <w:ind w:firstLine="709"/>
        <w:jc w:val="both"/>
      </w:pPr>
      <w:r w:rsidRPr="005E3D84">
        <w:rPr>
          <w:highlight w:val="white"/>
        </w:rPr>
        <w:t>+ Các số liệu khác</w:t>
      </w:r>
      <w:r w:rsidR="00546F16">
        <w:t xml:space="preserve"> có liên quan</w:t>
      </w:r>
      <w:r w:rsidRPr="005E3D84">
        <w:t>.</w:t>
      </w:r>
    </w:p>
    <w:p w:rsidR="004A04F8" w:rsidRPr="005E3D84" w:rsidRDefault="004A04F8" w:rsidP="0091386C">
      <w:pPr>
        <w:spacing w:before="120"/>
        <w:ind w:firstLine="709"/>
        <w:jc w:val="both"/>
        <w:rPr>
          <w:b/>
        </w:rPr>
      </w:pPr>
      <w:r w:rsidRPr="005E3D84">
        <w:rPr>
          <w:b/>
        </w:rPr>
        <w:t>2. Kết quả thực hiện các nhiệm vụ, giải pháp chủ yếu của Nghị quyết</w:t>
      </w:r>
      <w:r w:rsidR="00061FEE" w:rsidRPr="005E3D84">
        <w:rPr>
          <w:b/>
        </w:rPr>
        <w:t xml:space="preserve"> số 36-NQ/TU </w:t>
      </w:r>
      <w:r w:rsidR="00165DD5">
        <w:rPr>
          <w:b/>
        </w:rPr>
        <w:t xml:space="preserve">và </w:t>
      </w:r>
      <w:r w:rsidR="00165DD5" w:rsidRPr="00165DD5">
        <w:rPr>
          <w:b/>
          <w:lang w:val="fi-FI"/>
        </w:rPr>
        <w:t>Kế hoạch số 192/KH-UBND</w:t>
      </w:r>
      <w:r w:rsidR="00165DD5" w:rsidRPr="005E3D84">
        <w:rPr>
          <w:b/>
        </w:rPr>
        <w:t xml:space="preserve"> </w:t>
      </w:r>
      <w:r w:rsidR="00061FEE" w:rsidRPr="005E3D84">
        <w:rPr>
          <w:b/>
        </w:rPr>
        <w:t>trong lĩnh vực thương mại</w:t>
      </w:r>
    </w:p>
    <w:p w:rsidR="004A04F8" w:rsidRPr="00247CD6" w:rsidRDefault="004A04F8" w:rsidP="0091386C">
      <w:pPr>
        <w:spacing w:before="120"/>
        <w:ind w:firstLine="709"/>
        <w:jc w:val="both"/>
        <w:rPr>
          <w:b/>
          <w:i/>
        </w:rPr>
      </w:pPr>
      <w:r w:rsidRPr="00247CD6">
        <w:rPr>
          <w:b/>
          <w:i/>
        </w:rPr>
        <w:t>2.1. Tăng cường sự lãnh đạo, chỉ đạo của các cấp ủy đảng, phát huy vai trò của Mặt trận Tổ quốc và các tổ chức chính trị - xã hội</w:t>
      </w:r>
    </w:p>
    <w:p w:rsidR="00061FEE" w:rsidRPr="00247CD6" w:rsidRDefault="004A04F8" w:rsidP="0091386C">
      <w:pPr>
        <w:spacing w:before="120"/>
        <w:ind w:firstLine="709"/>
        <w:jc w:val="both"/>
        <w:rPr>
          <w:b/>
          <w:i/>
        </w:rPr>
      </w:pPr>
      <w:r w:rsidRPr="00247CD6">
        <w:rPr>
          <w:b/>
          <w:i/>
        </w:rPr>
        <w:t xml:space="preserve">2.2. </w:t>
      </w:r>
      <w:r w:rsidR="00061FEE" w:rsidRPr="00247CD6">
        <w:rPr>
          <w:b/>
          <w:i/>
          <w:spacing w:val="-8"/>
        </w:rPr>
        <w:t>Nâng cao năn</w:t>
      </w:r>
      <w:bookmarkStart w:id="1" w:name="_GoBack"/>
      <w:bookmarkEnd w:id="1"/>
      <w:r w:rsidR="00061FEE" w:rsidRPr="00247CD6">
        <w:rPr>
          <w:b/>
          <w:i/>
          <w:spacing w:val="-8"/>
        </w:rPr>
        <w:t>g lực, hiệu lực, hiệu quả quản lý nhà nước về thương mại</w:t>
      </w:r>
      <w:r w:rsidR="00061FEE" w:rsidRPr="00247CD6">
        <w:rPr>
          <w:b/>
          <w:i/>
        </w:rPr>
        <w:t xml:space="preserve"> </w:t>
      </w:r>
    </w:p>
    <w:p w:rsidR="004A04F8" w:rsidRPr="00247CD6" w:rsidRDefault="00061FEE" w:rsidP="0091386C">
      <w:pPr>
        <w:spacing w:before="120"/>
        <w:ind w:firstLine="709"/>
        <w:jc w:val="both"/>
        <w:rPr>
          <w:b/>
          <w:i/>
        </w:rPr>
      </w:pPr>
      <w:r w:rsidRPr="00247CD6">
        <w:rPr>
          <w:b/>
          <w:i/>
        </w:rPr>
        <w:t>2.2.1.</w:t>
      </w:r>
      <w:r w:rsidR="004A04F8" w:rsidRPr="00247CD6">
        <w:rPr>
          <w:b/>
          <w:i/>
        </w:rPr>
        <w:t xml:space="preserve"> Đánh giá công tác quy hoạch, tổ chức thực hiện quy hoạch; kế hoạch, chương trình phát triển cụ thể hàng năm.</w:t>
      </w:r>
    </w:p>
    <w:p w:rsidR="00061FEE" w:rsidRPr="00247CD6" w:rsidRDefault="00061FEE" w:rsidP="0091386C">
      <w:pPr>
        <w:spacing w:before="120"/>
        <w:ind w:firstLine="709"/>
        <w:jc w:val="both"/>
        <w:rPr>
          <w:b/>
          <w:i/>
          <w:highlight w:val="white"/>
        </w:rPr>
      </w:pPr>
      <w:r w:rsidRPr="00247CD6">
        <w:rPr>
          <w:b/>
          <w:i/>
          <w:highlight w:val="white"/>
        </w:rPr>
        <w:t>2.2.2. Về phát triển thương mại nội địa</w:t>
      </w:r>
    </w:p>
    <w:p w:rsidR="00061FEE" w:rsidRPr="005E3D84" w:rsidRDefault="00061FEE" w:rsidP="0091386C">
      <w:pPr>
        <w:spacing w:before="120"/>
        <w:ind w:firstLine="709"/>
        <w:jc w:val="both"/>
        <w:rPr>
          <w:highlight w:val="white"/>
        </w:rPr>
      </w:pPr>
      <w:r w:rsidRPr="005E3D84">
        <w:rPr>
          <w:highlight w:val="white"/>
        </w:rPr>
        <w:t>- Phát triển hệ thống kết cấu hạ tầng thương mại (</w:t>
      </w:r>
      <w:r w:rsidR="009B331D">
        <w:rPr>
          <w:highlight w:val="white"/>
        </w:rPr>
        <w:t xml:space="preserve">thực trạng </w:t>
      </w:r>
      <w:r w:rsidRPr="005E3D84">
        <w:rPr>
          <w:highlight w:val="white"/>
        </w:rPr>
        <w:t xml:space="preserve">chợ, siêu thị, trung tâm thương mại, trung tâm hội chợ triển lãm, điểm giới thiệu và bán sản phẩm OCOP, …); kết quả triển khai thực hiện Quyết định số 749/QĐ-UBND ngày 18/5/2023 của UBND tỉnh Lạng Sơn </w:t>
      </w:r>
      <w:r w:rsidRPr="005E3D84">
        <w:t xml:space="preserve">phê duyệt Đề án phát triển hạ tầng chợ miền núi, biên giới trên địa bàn tỉnh Lạng Sơn đến năm 2025, định hướng </w:t>
      </w:r>
      <w:r w:rsidRPr="005E3D84">
        <w:lastRenderedPageBreak/>
        <w:t xml:space="preserve">đến </w:t>
      </w:r>
      <w:r w:rsidR="009B331D" w:rsidRPr="009B331D">
        <w:t>năm 2030;</w:t>
      </w:r>
      <w:r w:rsidR="009B331D" w:rsidRPr="009B331D">
        <w:rPr>
          <w:spacing w:val="-2"/>
          <w:lang w:val="pt-BR" w:eastAsia="vi-VN"/>
        </w:rPr>
        <w:t xml:space="preserve"> Thực hiện cuộc vận động “Người Việt Nam ưu tiên dùng hàng Việt Nam”...</w:t>
      </w:r>
    </w:p>
    <w:p w:rsidR="00061FEE" w:rsidRPr="005E3D84" w:rsidRDefault="00061FEE" w:rsidP="0091386C">
      <w:pPr>
        <w:spacing w:before="120"/>
        <w:ind w:firstLine="709"/>
        <w:jc w:val="both"/>
        <w:rPr>
          <w:highlight w:val="white"/>
        </w:rPr>
      </w:pPr>
      <w:r w:rsidRPr="005E3D84">
        <w:rPr>
          <w:highlight w:val="white"/>
        </w:rPr>
        <w:t>- Phát triển thương mại điện tử, các loại hình thương mại dựa trên nền tảng số hoá, hỗ trợ sản phẩm nông sản lên các sàn thương mại điện tử;</w:t>
      </w:r>
    </w:p>
    <w:p w:rsidR="00061FEE" w:rsidRPr="005E3D84" w:rsidRDefault="00061FEE" w:rsidP="0091386C">
      <w:pPr>
        <w:spacing w:before="120"/>
        <w:ind w:firstLine="709"/>
        <w:jc w:val="both"/>
        <w:rPr>
          <w:highlight w:val="white"/>
        </w:rPr>
      </w:pPr>
      <w:r w:rsidRPr="005E3D84">
        <w:rPr>
          <w:highlight w:val="white"/>
        </w:rPr>
        <w:t>- Đổi mới, tăng cường công tác quản lý nhà nước, nâng cao hiệu quả thực thi pháp luật về hoạt động thương mại thị trường trong nước</w:t>
      </w:r>
      <w:r w:rsidR="00DE3164">
        <w:rPr>
          <w:highlight w:val="white"/>
        </w:rPr>
        <w:t>.</w:t>
      </w:r>
    </w:p>
    <w:p w:rsidR="00061FEE" w:rsidRPr="005E3D84" w:rsidRDefault="00061FEE" w:rsidP="0091386C">
      <w:pPr>
        <w:spacing w:before="120"/>
        <w:ind w:firstLine="709"/>
        <w:jc w:val="both"/>
        <w:rPr>
          <w:b/>
          <w:i/>
          <w:highlight w:val="white"/>
        </w:rPr>
      </w:pPr>
      <w:r w:rsidRPr="005E3D84">
        <w:rPr>
          <w:b/>
          <w:i/>
          <w:highlight w:val="white"/>
        </w:rPr>
        <w:t xml:space="preserve">2.2.3. Về phát triển thương mại biên giới </w:t>
      </w:r>
    </w:p>
    <w:p w:rsidR="00061FEE" w:rsidRPr="005E3D84" w:rsidRDefault="00061FEE" w:rsidP="0091386C">
      <w:pPr>
        <w:spacing w:before="120"/>
        <w:ind w:firstLine="709"/>
        <w:jc w:val="both"/>
        <w:rPr>
          <w:highlight w:val="white"/>
        </w:rPr>
      </w:pPr>
      <w:r w:rsidRPr="005E3D84">
        <w:rPr>
          <w:highlight w:val="white"/>
        </w:rPr>
        <w:t>- Về phát triển hạ tầng thương mại biên giới</w:t>
      </w:r>
      <w:r w:rsidR="008350F3" w:rsidRPr="005E3D84">
        <w:rPr>
          <w:highlight w:val="white"/>
        </w:rPr>
        <w:t xml:space="preserve"> (</w:t>
      </w:r>
      <w:r w:rsidR="00C86AF9" w:rsidRPr="005E3D84">
        <w:rPr>
          <w:highlight w:val="white"/>
        </w:rPr>
        <w:t>đối với những địa phương có cửa khẩu biên giới</w:t>
      </w:r>
      <w:r w:rsidR="008350F3" w:rsidRPr="005E3D84">
        <w:rPr>
          <w:highlight w:val="white"/>
        </w:rPr>
        <w:t>)</w:t>
      </w:r>
      <w:r w:rsidR="009C6B2E" w:rsidRPr="005E3D84">
        <w:rPr>
          <w:highlight w:val="white"/>
        </w:rPr>
        <w:t>;</w:t>
      </w:r>
    </w:p>
    <w:p w:rsidR="00061FEE" w:rsidRPr="005E3D84" w:rsidRDefault="00061FEE" w:rsidP="0091386C">
      <w:pPr>
        <w:spacing w:before="120"/>
        <w:ind w:firstLine="709"/>
        <w:jc w:val="both"/>
        <w:rPr>
          <w:highlight w:val="white"/>
        </w:rPr>
      </w:pPr>
      <w:r w:rsidRPr="005E3D84">
        <w:rPr>
          <w:highlight w:val="white"/>
        </w:rPr>
        <w:t>- Về</w:t>
      </w:r>
      <w:r w:rsidR="003933F8" w:rsidRPr="005E3D84">
        <w:rPr>
          <w:highlight w:val="white"/>
        </w:rPr>
        <w:t xml:space="preserve"> </w:t>
      </w:r>
      <w:r w:rsidRPr="005E3D84">
        <w:rPr>
          <w:highlight w:val="white"/>
        </w:rPr>
        <w:t>đẩy mạnh xuất khẩu sản phẩm chủ lực của địa phương</w:t>
      </w:r>
      <w:r w:rsidR="00A052EA" w:rsidRPr="005E3D84">
        <w:rPr>
          <w:highlight w:val="white"/>
        </w:rPr>
        <w:t>:</w:t>
      </w:r>
      <w:r w:rsidRPr="005E3D84">
        <w:rPr>
          <w:highlight w:val="white"/>
        </w:rPr>
        <w:t xml:space="preserve"> kết quả triển khai thực hiện Quyết định số 784/QĐ-UBND ngày 23/5/2023 của UBND tỉnh Lạng Sơn phê duyệt Đề án </w:t>
      </w:r>
      <w:r w:rsidRPr="005E3D84">
        <w:t>"Phát triển thị trường xuất khẩu hàng nông sản chủ lực của tỉnh Lạng Sơn đến năm 2025, định hướng đến năm 2030";</w:t>
      </w:r>
      <w:r w:rsidR="00A052EA" w:rsidRPr="005E3D84">
        <w:t xml:space="preserve"> kim ngạch xuất khẩu hàng địa phương, mặt hàng xuất khẩu, thị trường xuất khẩu chủ yếu</w:t>
      </w:r>
      <w:r w:rsidR="004D7629" w:rsidRPr="005E3D84">
        <w:t>;</w:t>
      </w:r>
    </w:p>
    <w:p w:rsidR="00061FEE" w:rsidRPr="005E3D84" w:rsidRDefault="00061FEE" w:rsidP="0091386C">
      <w:pPr>
        <w:spacing w:before="120"/>
        <w:ind w:firstLine="709"/>
        <w:jc w:val="both"/>
        <w:rPr>
          <w:highlight w:val="white"/>
        </w:rPr>
      </w:pPr>
      <w:r w:rsidRPr="005E3D84">
        <w:rPr>
          <w:highlight w:val="white"/>
        </w:rPr>
        <w:t>- Về định hướng, hỗ trợ doanh nghiệp đầu tư phát triển sản xuất, kinh doanh, đẩy mạnh xuất khẩu trên địa bàn, kịp thời n</w:t>
      </w:r>
      <w:r w:rsidR="00483A00" w:rsidRPr="005E3D84">
        <w:rPr>
          <w:highlight w:val="white"/>
        </w:rPr>
        <w:t>ắ</w:t>
      </w:r>
      <w:r w:rsidRPr="005E3D84">
        <w:rPr>
          <w:highlight w:val="white"/>
        </w:rPr>
        <w:t>m bắt tình hình và đề xuất giải pháp tháo gỡ khó khăn cho doanh nghiệp</w:t>
      </w:r>
      <w:r w:rsidR="00780E8F">
        <w:rPr>
          <w:highlight w:val="white"/>
        </w:rPr>
        <w:t>.</w:t>
      </w:r>
    </w:p>
    <w:p w:rsidR="00061FEE" w:rsidRPr="005E3D84" w:rsidRDefault="00061FEE" w:rsidP="0091386C">
      <w:pPr>
        <w:spacing w:before="120"/>
        <w:ind w:firstLine="709"/>
        <w:jc w:val="both"/>
        <w:rPr>
          <w:b/>
        </w:rPr>
      </w:pPr>
      <w:r w:rsidRPr="005E3D84">
        <w:rPr>
          <w:b/>
        </w:rPr>
        <w:t>2.3. Đẩy mạnh xây dựng và nâng cao chất lượng nguồn nhân lực cho phát triển thương mại</w:t>
      </w:r>
    </w:p>
    <w:p w:rsidR="000F315E" w:rsidRPr="005E3D84" w:rsidRDefault="00061FEE" w:rsidP="0091386C">
      <w:pPr>
        <w:spacing w:before="120"/>
        <w:ind w:firstLine="709"/>
        <w:jc w:val="both"/>
        <w:rPr>
          <w:b/>
          <w:highlight w:val="white"/>
        </w:rPr>
      </w:pPr>
      <w:r w:rsidRPr="005E3D84">
        <w:rPr>
          <w:b/>
        </w:rPr>
        <w:t xml:space="preserve">2.4. </w:t>
      </w:r>
      <w:r w:rsidRPr="005E3D84">
        <w:rPr>
          <w:b/>
          <w:highlight w:val="white"/>
        </w:rPr>
        <w:t>Về triển khai thực hiện các cơ chế, chính sách của Trung ư</w:t>
      </w:r>
      <w:r w:rsidR="008F1B0E" w:rsidRPr="005E3D84">
        <w:rPr>
          <w:b/>
          <w:highlight w:val="white"/>
        </w:rPr>
        <w:t>ơ</w:t>
      </w:r>
      <w:r w:rsidRPr="005E3D84">
        <w:rPr>
          <w:b/>
          <w:highlight w:val="white"/>
        </w:rPr>
        <w:t>ng, của tỉnh về phát triển thương mạ</w:t>
      </w:r>
      <w:r w:rsidR="003A646D" w:rsidRPr="005E3D84">
        <w:rPr>
          <w:b/>
          <w:highlight w:val="white"/>
        </w:rPr>
        <w:t>i</w:t>
      </w:r>
    </w:p>
    <w:p w:rsidR="009B331D" w:rsidRDefault="00061FEE" w:rsidP="0091386C">
      <w:pPr>
        <w:spacing w:before="120"/>
        <w:ind w:firstLine="709"/>
        <w:jc w:val="both"/>
        <w:rPr>
          <w:highlight w:val="white"/>
        </w:rPr>
      </w:pPr>
      <w:r w:rsidRPr="005E3D84">
        <w:rPr>
          <w:highlight w:val="white"/>
        </w:rPr>
        <w:t xml:space="preserve">- </w:t>
      </w:r>
      <w:r w:rsidRPr="00083D9C">
        <w:rPr>
          <w:spacing w:val="-6"/>
          <w:highlight w:val="white"/>
        </w:rPr>
        <w:t>Chính sách hỗ trợ chợ nông thôn theo Nghị quyết số 16/2022/NQ-HĐND</w:t>
      </w:r>
      <w:r w:rsidR="009B331D">
        <w:rPr>
          <w:spacing w:val="-6"/>
          <w:highlight w:val="white"/>
        </w:rPr>
        <w:t xml:space="preserve"> ngày 07/7/2022 của HĐND tỉnh về một số chính sách hỗ trợ đầu tư trên địa bàn tỉnh Lạng Sơn</w:t>
      </w:r>
      <w:r w:rsidR="000F315E" w:rsidRPr="00083D9C">
        <w:rPr>
          <w:spacing w:val="-6"/>
          <w:highlight w:val="white"/>
        </w:rPr>
        <w:t>;</w:t>
      </w:r>
    </w:p>
    <w:p w:rsidR="00061FEE" w:rsidRPr="009B331D" w:rsidRDefault="00061FEE" w:rsidP="0091386C">
      <w:pPr>
        <w:spacing w:before="120"/>
        <w:ind w:firstLine="709"/>
        <w:jc w:val="both"/>
        <w:rPr>
          <w:highlight w:val="white"/>
        </w:rPr>
      </w:pPr>
      <w:r w:rsidRPr="009B331D">
        <w:rPr>
          <w:szCs w:val="28"/>
          <w:highlight w:val="white"/>
        </w:rPr>
        <w:t>- Chính sách hỗ trợ Điểm giới thiệu và bán sản phẩm OCOP theo Nghị quyết số 30/2023/NQ-HĐND</w:t>
      </w:r>
      <w:r w:rsidR="009B331D" w:rsidRPr="009B331D">
        <w:rPr>
          <w:szCs w:val="28"/>
          <w:highlight w:val="white"/>
        </w:rPr>
        <w:t xml:space="preserve"> ngày 18/12/2023 </w:t>
      </w:r>
      <w:r w:rsidR="009B331D" w:rsidRPr="009B331D">
        <w:rPr>
          <w:szCs w:val="28"/>
          <w:shd w:val="clear" w:color="auto" w:fill="FFFFFF"/>
        </w:rPr>
        <w:t>quy định nội dung, mức hỗ trợ từ ngân sách nhà nước thực hiện một số nội dung trong Chương trình mục tiêu quốc gia xây dựng nông thôn mới giai đoạn 2021- 2025 trên địa bàn tỉnh Lạng Sơn</w:t>
      </w:r>
      <w:r w:rsidR="000F315E" w:rsidRPr="009B331D">
        <w:rPr>
          <w:szCs w:val="28"/>
          <w:highlight w:val="white"/>
        </w:rPr>
        <w:t>;</w:t>
      </w:r>
    </w:p>
    <w:p w:rsidR="000F315E" w:rsidRPr="005E3D84" w:rsidRDefault="000F315E" w:rsidP="0091386C">
      <w:pPr>
        <w:spacing w:before="120"/>
        <w:ind w:firstLine="709"/>
        <w:jc w:val="both"/>
        <w:rPr>
          <w:highlight w:val="white"/>
        </w:rPr>
      </w:pPr>
      <w:r w:rsidRPr="005E3D84">
        <w:rPr>
          <w:highlight w:val="white"/>
        </w:rPr>
        <w:t xml:space="preserve">- </w:t>
      </w:r>
      <w:r w:rsidRPr="009B331D">
        <w:rPr>
          <w:highlight w:val="white"/>
        </w:rPr>
        <w:t xml:space="preserve">Chính sách hỗ trợ kinh phí mở rộng thị trường theo </w:t>
      </w:r>
      <w:r w:rsidRPr="009B331D">
        <w:t xml:space="preserve">Nghị quyết số 08/2019/NQ-HĐND ngày 10/12/2019 và </w:t>
      </w:r>
      <w:r w:rsidR="009B331D" w:rsidRPr="009B331D">
        <w:t>Nghị quyết số 15/2021/NQ-HĐND ngày 17/7/2021 của HĐND tỉnh Lạng Sơn</w:t>
      </w:r>
      <w:r w:rsidRPr="009B331D">
        <w:t>;</w:t>
      </w:r>
    </w:p>
    <w:p w:rsidR="00061FEE" w:rsidRPr="005E3D84" w:rsidRDefault="00061FEE" w:rsidP="0091386C">
      <w:pPr>
        <w:spacing w:before="120"/>
        <w:ind w:firstLine="709"/>
        <w:jc w:val="both"/>
      </w:pPr>
      <w:r w:rsidRPr="005E3D84">
        <w:t>- Các chính sách khác có liên quan trong lĩnh vực thương mại</w:t>
      </w:r>
      <w:r w:rsidR="000F315E" w:rsidRPr="005E3D84">
        <w:t>.</w:t>
      </w:r>
    </w:p>
    <w:p w:rsidR="00061FEE" w:rsidRPr="005E3D84" w:rsidRDefault="00061FEE" w:rsidP="0091386C">
      <w:pPr>
        <w:spacing w:before="120"/>
        <w:ind w:firstLine="709"/>
        <w:jc w:val="both"/>
        <w:rPr>
          <w:b/>
        </w:rPr>
      </w:pPr>
      <w:r w:rsidRPr="005E3D84">
        <w:rPr>
          <w:b/>
        </w:rPr>
        <w:t>2.5. Ứng dụng khoa học công nghệ, bảo vệ môi trường sinh thái</w:t>
      </w:r>
    </w:p>
    <w:p w:rsidR="00061FEE" w:rsidRPr="005E3D84" w:rsidRDefault="00061FEE" w:rsidP="0091386C">
      <w:pPr>
        <w:spacing w:before="120"/>
        <w:ind w:firstLine="709"/>
        <w:jc w:val="both"/>
        <w:rPr>
          <w:b/>
          <w:highlight w:val="white"/>
        </w:rPr>
      </w:pPr>
      <w:r w:rsidRPr="005E3D84">
        <w:rPr>
          <w:b/>
        </w:rPr>
        <w:t xml:space="preserve">2.6. </w:t>
      </w:r>
      <w:r w:rsidRPr="005E3D84">
        <w:rPr>
          <w:b/>
          <w:highlight w:val="white"/>
        </w:rPr>
        <w:t>Về đẩy mạnh cải cách hành chính, cải thiện môi trường đầu tư, kinh doanh, thực hiện chất lượng, hiệu quả công tác xúc tiến đầu tư, xúc tiến thương mại</w:t>
      </w:r>
    </w:p>
    <w:p w:rsidR="00061FEE" w:rsidRDefault="00061FEE" w:rsidP="0091386C">
      <w:pPr>
        <w:spacing w:before="120"/>
        <w:ind w:firstLine="709"/>
        <w:jc w:val="both"/>
        <w:rPr>
          <w:spacing w:val="-6"/>
        </w:rPr>
      </w:pPr>
      <w:r w:rsidRPr="00C44E41">
        <w:rPr>
          <w:spacing w:val="-6"/>
        </w:rPr>
        <w:t>Đánh giá công tác cải cách thủ tục hành chính trong việc tạo điều kiện thuận lợi cho các hoạt động đầu tư, kinh doanh trong lĩnh vực thương mại phát triển…</w:t>
      </w:r>
    </w:p>
    <w:p w:rsidR="009B331D" w:rsidRPr="009B331D" w:rsidRDefault="009B331D" w:rsidP="0091386C">
      <w:pPr>
        <w:spacing w:before="120"/>
        <w:ind w:firstLine="709"/>
        <w:jc w:val="both"/>
        <w:rPr>
          <w:spacing w:val="-6"/>
        </w:rPr>
      </w:pPr>
      <w:r w:rsidRPr="009B331D">
        <w:rPr>
          <w:spacing w:val="-6"/>
        </w:rPr>
        <w:lastRenderedPageBreak/>
        <w:t>Việc tổ chức hội nghị/đối thoại với cộng đồng doanh nghiệp trên địa bàn (nếu có), kết quả; Việc phối hợp trong tổ chức Hội chợ trên địa bàn…</w:t>
      </w:r>
    </w:p>
    <w:p w:rsidR="00061FEE" w:rsidRPr="005E3D84" w:rsidRDefault="00061FEE" w:rsidP="0091386C">
      <w:pPr>
        <w:spacing w:before="120"/>
        <w:ind w:firstLine="709"/>
        <w:jc w:val="both"/>
        <w:rPr>
          <w:b/>
          <w:highlight w:val="white"/>
        </w:rPr>
      </w:pPr>
      <w:r w:rsidRPr="005E3D84">
        <w:rPr>
          <w:b/>
          <w:highlight w:val="white"/>
        </w:rPr>
        <w:t>2.</w:t>
      </w:r>
      <w:r w:rsidR="005E3D84" w:rsidRPr="005E3D84">
        <w:rPr>
          <w:b/>
          <w:highlight w:val="white"/>
        </w:rPr>
        <w:t>7</w:t>
      </w:r>
      <w:r w:rsidRPr="005E3D84">
        <w:rPr>
          <w:b/>
          <w:highlight w:val="white"/>
        </w:rPr>
        <w:t xml:space="preserve">. </w:t>
      </w:r>
      <w:r w:rsidRPr="005A2F92">
        <w:rPr>
          <w:b/>
          <w:spacing w:val="-6"/>
          <w:highlight w:val="white"/>
        </w:rPr>
        <w:t>Tăng cường mở rộng liên kết phát triển kinh tế và hợp tác quốc tế</w:t>
      </w:r>
    </w:p>
    <w:p w:rsidR="00061FEE" w:rsidRPr="005E3D84" w:rsidRDefault="00061FEE" w:rsidP="0091386C">
      <w:pPr>
        <w:spacing w:before="120"/>
        <w:ind w:firstLine="709"/>
        <w:jc w:val="both"/>
        <w:rPr>
          <w:b/>
          <w:highlight w:val="white"/>
        </w:rPr>
      </w:pPr>
      <w:r w:rsidRPr="005E3D84">
        <w:rPr>
          <w:b/>
          <w:highlight w:val="white"/>
        </w:rPr>
        <w:t>3. Công tác thanh tra, kiểm tra</w:t>
      </w:r>
    </w:p>
    <w:p w:rsidR="009B331D" w:rsidRPr="009B331D" w:rsidRDefault="009B331D" w:rsidP="009B331D">
      <w:pPr>
        <w:spacing w:before="120"/>
        <w:ind w:firstLine="709"/>
        <w:jc w:val="both"/>
        <w:rPr>
          <w:i/>
        </w:rPr>
      </w:pPr>
      <w:r w:rsidRPr="009B331D">
        <w:rPr>
          <w:i/>
        </w:rPr>
        <w:t xml:space="preserve">Kết quả thực hiện công tác thanh tra/kiểm tra; xử lý sau thanh tra/kiểm tra; việc khắc phục những tồn tại, hạn chế sau thanh tra, kiểm tra của tổ chức, cá nhân, </w:t>
      </w:r>
      <w:r w:rsidRPr="009B331D">
        <w:rPr>
          <w:bCs/>
          <w:i/>
          <w:szCs w:val="28"/>
          <w:lang w:val="de-DE"/>
        </w:rPr>
        <w:t xml:space="preserve">cơ quan </w:t>
      </w:r>
      <w:r w:rsidRPr="009B331D">
        <w:rPr>
          <w:i/>
        </w:rPr>
        <w:t>được kiểm tra trong lĩnh vực thương mại.</w:t>
      </w:r>
    </w:p>
    <w:p w:rsidR="000F315E" w:rsidRPr="005E3D84" w:rsidRDefault="00061FEE" w:rsidP="0091386C">
      <w:pPr>
        <w:spacing w:before="120"/>
        <w:ind w:firstLine="709"/>
        <w:jc w:val="both"/>
        <w:rPr>
          <w:b/>
          <w:highlight w:val="white"/>
        </w:rPr>
      </w:pPr>
      <w:r w:rsidRPr="005E3D84">
        <w:rPr>
          <w:b/>
        </w:rPr>
        <w:t>4</w:t>
      </w:r>
      <w:r w:rsidR="004A04F8" w:rsidRPr="005E3D84">
        <w:rPr>
          <w:b/>
        </w:rPr>
        <w:t>. Đánh giá chung</w:t>
      </w:r>
    </w:p>
    <w:p w:rsidR="000F315E" w:rsidRPr="005E3D84" w:rsidRDefault="000F315E" w:rsidP="0091386C">
      <w:pPr>
        <w:spacing w:before="120"/>
        <w:ind w:firstLine="709"/>
        <w:jc w:val="both"/>
        <w:rPr>
          <w:b/>
          <w:highlight w:val="white"/>
        </w:rPr>
      </w:pPr>
      <w:r w:rsidRPr="005E3D84">
        <w:rPr>
          <w:b/>
          <w:highlight w:val="white"/>
        </w:rPr>
        <w:t>4.</w:t>
      </w:r>
      <w:r w:rsidR="00061FEE" w:rsidRPr="005E3D84">
        <w:rPr>
          <w:b/>
          <w:highlight w:val="white"/>
        </w:rPr>
        <w:t>1. Ưu điể</w:t>
      </w:r>
      <w:r w:rsidR="00A148C4">
        <w:rPr>
          <w:b/>
          <w:highlight w:val="white"/>
        </w:rPr>
        <w:t>m</w:t>
      </w:r>
    </w:p>
    <w:p w:rsidR="000F315E" w:rsidRPr="005E3D84" w:rsidRDefault="000F315E" w:rsidP="0091386C">
      <w:pPr>
        <w:spacing w:before="120"/>
        <w:ind w:firstLine="709"/>
        <w:jc w:val="both"/>
        <w:rPr>
          <w:b/>
        </w:rPr>
      </w:pPr>
      <w:r w:rsidRPr="005E3D84">
        <w:rPr>
          <w:b/>
          <w:highlight w:val="white"/>
        </w:rPr>
        <w:t>4.</w:t>
      </w:r>
      <w:r w:rsidR="00061FEE" w:rsidRPr="005E3D84">
        <w:rPr>
          <w:b/>
          <w:highlight w:val="white"/>
        </w:rPr>
        <w:t>2. Tồn tại, hạn chế</w:t>
      </w:r>
      <w:r w:rsidR="00061FEE" w:rsidRPr="005E3D84">
        <w:rPr>
          <w:b/>
        </w:rPr>
        <w:t>, khó khăn</w:t>
      </w:r>
    </w:p>
    <w:p w:rsidR="000F315E" w:rsidRPr="005E3D84" w:rsidRDefault="000F315E" w:rsidP="0091386C">
      <w:pPr>
        <w:spacing w:before="120"/>
        <w:ind w:firstLine="709"/>
        <w:jc w:val="both"/>
        <w:rPr>
          <w:b/>
        </w:rPr>
      </w:pPr>
      <w:r w:rsidRPr="005E3D84">
        <w:rPr>
          <w:b/>
        </w:rPr>
        <w:t>4.</w:t>
      </w:r>
      <w:r w:rsidR="00061FEE" w:rsidRPr="005E3D84">
        <w:rPr>
          <w:b/>
        </w:rPr>
        <w:t>3. Nguyên nhân</w:t>
      </w:r>
      <w:r w:rsidR="00061FEE" w:rsidRPr="005C13FA">
        <w:t xml:space="preserve"> (chủ quan, khách quan)</w:t>
      </w:r>
    </w:p>
    <w:p w:rsidR="000F315E" w:rsidRPr="005E3D84" w:rsidRDefault="00061FEE" w:rsidP="0091386C">
      <w:pPr>
        <w:spacing w:before="120"/>
        <w:ind w:firstLine="709"/>
        <w:jc w:val="both"/>
        <w:rPr>
          <w:b/>
        </w:rPr>
      </w:pPr>
      <w:r w:rsidRPr="005E3D84">
        <w:rPr>
          <w:b/>
        </w:rPr>
        <w:t xml:space="preserve">III. </w:t>
      </w:r>
      <w:r w:rsidRPr="00FA05B2">
        <w:rPr>
          <w:b/>
          <w:spacing w:val="-8"/>
        </w:rPr>
        <w:t>NHIỆM VỤ, GIẢI PHÁP NĂM 2024 VÀ CÁC NĂM TIẾP THEO</w:t>
      </w:r>
      <w:r w:rsidRPr="005E3D84">
        <w:rPr>
          <w:b/>
        </w:rPr>
        <w:t xml:space="preserve"> </w:t>
      </w:r>
    </w:p>
    <w:p w:rsidR="00061FEE" w:rsidRPr="005E3D84" w:rsidRDefault="00061FEE" w:rsidP="0091386C">
      <w:pPr>
        <w:spacing w:before="120"/>
        <w:ind w:firstLine="709"/>
        <w:jc w:val="both"/>
        <w:rPr>
          <w:b/>
          <w:highlight w:val="white"/>
        </w:rPr>
      </w:pPr>
      <w:r w:rsidRPr="005E3D84">
        <w:rPr>
          <w:b/>
        </w:rPr>
        <w:t>IV. KIẾN NGHỊ, ĐỀ XUẤT</w:t>
      </w:r>
    </w:p>
    <w:p w:rsidR="004A04F8" w:rsidRPr="005E3D84" w:rsidRDefault="0058789C" w:rsidP="0091386C">
      <w:pPr>
        <w:spacing w:before="120"/>
        <w:ind w:firstLine="709"/>
        <w:jc w:val="both"/>
      </w:pPr>
      <w:r w:rsidRPr="005E3D84">
        <w:rPr>
          <w:b/>
          <w:u w:val="single"/>
        </w:rPr>
        <w:t>Ghi chú:</w:t>
      </w:r>
      <w:r w:rsidRPr="005E3D84">
        <w:t xml:space="preserve"> Có biểu báo cáo số liệu kèm theo.</w:t>
      </w:r>
    </w:p>
    <w:p w:rsidR="0077795E" w:rsidRPr="005E3D84" w:rsidRDefault="0077795E" w:rsidP="005E3D84">
      <w:pPr>
        <w:spacing w:before="120"/>
        <w:jc w:val="both"/>
      </w:pPr>
    </w:p>
    <w:sectPr w:rsidR="0077795E" w:rsidRPr="005E3D84" w:rsidSect="00613E94">
      <w:headerReference w:type="default" r:id="rId7"/>
      <w:pgSz w:w="11907" w:h="16840" w:code="9"/>
      <w:pgMar w:top="1134" w:right="1134"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CA" w:rsidRDefault="000168CA">
      <w:r>
        <w:separator/>
      </w:r>
    </w:p>
  </w:endnote>
  <w:endnote w:type="continuationSeparator" w:id="0">
    <w:p w:rsidR="000168CA" w:rsidRDefault="000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CA" w:rsidRDefault="000168CA">
      <w:r>
        <w:separator/>
      </w:r>
    </w:p>
  </w:footnote>
  <w:footnote w:type="continuationSeparator" w:id="0">
    <w:p w:rsidR="000168CA" w:rsidRDefault="0001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BC" w:rsidRDefault="00BE6EBC">
    <w:pPr>
      <w:pStyle w:val="Header"/>
      <w:jc w:val="center"/>
    </w:pPr>
    <w:r>
      <w:fldChar w:fldCharType="begin"/>
    </w:r>
    <w:r>
      <w:instrText xml:space="preserve"> PAGE   \* MERGEFORMAT </w:instrText>
    </w:r>
    <w:r>
      <w:fldChar w:fldCharType="separate"/>
    </w:r>
    <w:r w:rsidR="00165DD5">
      <w:rPr>
        <w:noProof/>
      </w:rPr>
      <w:t>2</w:t>
    </w:r>
    <w:r>
      <w:rPr>
        <w:noProof/>
      </w:rPr>
      <w:fldChar w:fldCharType="end"/>
    </w:r>
  </w:p>
  <w:p w:rsidR="00BE6EBC" w:rsidRDefault="00BE6E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9F"/>
    <w:multiLevelType w:val="hybridMultilevel"/>
    <w:tmpl w:val="8A30B328"/>
    <w:lvl w:ilvl="0" w:tplc="6854C89C">
      <w:start w:val="1"/>
      <w:numFmt w:val="decimal"/>
      <w:lvlText w:val="%1."/>
      <w:lvlJc w:val="left"/>
      <w:pPr>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CD5844"/>
    <w:multiLevelType w:val="hybridMultilevel"/>
    <w:tmpl w:val="A058F1C8"/>
    <w:lvl w:ilvl="0" w:tplc="2EBA1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C5"/>
    <w:rsid w:val="00014E5E"/>
    <w:rsid w:val="000168CA"/>
    <w:rsid w:val="000274DD"/>
    <w:rsid w:val="00031EA6"/>
    <w:rsid w:val="00040432"/>
    <w:rsid w:val="000541E3"/>
    <w:rsid w:val="00061FEE"/>
    <w:rsid w:val="000640F0"/>
    <w:rsid w:val="000817AB"/>
    <w:rsid w:val="00083697"/>
    <w:rsid w:val="00083D9C"/>
    <w:rsid w:val="00086C9D"/>
    <w:rsid w:val="000C13A6"/>
    <w:rsid w:val="000C2FDA"/>
    <w:rsid w:val="000D7638"/>
    <w:rsid w:val="000F315E"/>
    <w:rsid w:val="00111E16"/>
    <w:rsid w:val="001274A0"/>
    <w:rsid w:val="00151850"/>
    <w:rsid w:val="001601D6"/>
    <w:rsid w:val="00165DD5"/>
    <w:rsid w:val="00166D6B"/>
    <w:rsid w:val="00185410"/>
    <w:rsid w:val="001C4C4F"/>
    <w:rsid w:val="001C7A5E"/>
    <w:rsid w:val="001F3903"/>
    <w:rsid w:val="00211CC0"/>
    <w:rsid w:val="002254CF"/>
    <w:rsid w:val="002344A5"/>
    <w:rsid w:val="00247CD6"/>
    <w:rsid w:val="00264E6C"/>
    <w:rsid w:val="002679AB"/>
    <w:rsid w:val="0028788D"/>
    <w:rsid w:val="002A0AA1"/>
    <w:rsid w:val="002A166C"/>
    <w:rsid w:val="002A42B1"/>
    <w:rsid w:val="002D70E1"/>
    <w:rsid w:val="00316349"/>
    <w:rsid w:val="003209D0"/>
    <w:rsid w:val="00333B7E"/>
    <w:rsid w:val="00360484"/>
    <w:rsid w:val="003670AA"/>
    <w:rsid w:val="00375A58"/>
    <w:rsid w:val="003933F8"/>
    <w:rsid w:val="0039686F"/>
    <w:rsid w:val="003A646D"/>
    <w:rsid w:val="003C386F"/>
    <w:rsid w:val="003C5D59"/>
    <w:rsid w:val="003D7A2B"/>
    <w:rsid w:val="003F0625"/>
    <w:rsid w:val="003F3465"/>
    <w:rsid w:val="00413757"/>
    <w:rsid w:val="004416AB"/>
    <w:rsid w:val="00451C4A"/>
    <w:rsid w:val="00456A04"/>
    <w:rsid w:val="00457DCA"/>
    <w:rsid w:val="00461E43"/>
    <w:rsid w:val="00483A00"/>
    <w:rsid w:val="004925BE"/>
    <w:rsid w:val="00492C99"/>
    <w:rsid w:val="004A04F8"/>
    <w:rsid w:val="004C007F"/>
    <w:rsid w:val="004D7629"/>
    <w:rsid w:val="005070AE"/>
    <w:rsid w:val="00527BD7"/>
    <w:rsid w:val="00546F16"/>
    <w:rsid w:val="005863F7"/>
    <w:rsid w:val="0058789C"/>
    <w:rsid w:val="0058795F"/>
    <w:rsid w:val="00591F85"/>
    <w:rsid w:val="005A2F92"/>
    <w:rsid w:val="005C13FA"/>
    <w:rsid w:val="005E3D84"/>
    <w:rsid w:val="005E6807"/>
    <w:rsid w:val="005F33EA"/>
    <w:rsid w:val="005F7897"/>
    <w:rsid w:val="00605C86"/>
    <w:rsid w:val="00613E94"/>
    <w:rsid w:val="00625478"/>
    <w:rsid w:val="00635C89"/>
    <w:rsid w:val="00650C2E"/>
    <w:rsid w:val="0066265F"/>
    <w:rsid w:val="00666CDD"/>
    <w:rsid w:val="00673CD8"/>
    <w:rsid w:val="00677561"/>
    <w:rsid w:val="00680F75"/>
    <w:rsid w:val="00687194"/>
    <w:rsid w:val="00691A1B"/>
    <w:rsid w:val="006E3847"/>
    <w:rsid w:val="0073721F"/>
    <w:rsid w:val="007417EE"/>
    <w:rsid w:val="00754037"/>
    <w:rsid w:val="007633E3"/>
    <w:rsid w:val="00775154"/>
    <w:rsid w:val="0077616C"/>
    <w:rsid w:val="0077795E"/>
    <w:rsid w:val="00780E8F"/>
    <w:rsid w:val="0078452B"/>
    <w:rsid w:val="00786D43"/>
    <w:rsid w:val="00795080"/>
    <w:rsid w:val="007C1229"/>
    <w:rsid w:val="007F28C5"/>
    <w:rsid w:val="00804E8C"/>
    <w:rsid w:val="008242CD"/>
    <w:rsid w:val="008350F3"/>
    <w:rsid w:val="00855811"/>
    <w:rsid w:val="00865D76"/>
    <w:rsid w:val="00874D69"/>
    <w:rsid w:val="00885586"/>
    <w:rsid w:val="008E13CD"/>
    <w:rsid w:val="008F1B0E"/>
    <w:rsid w:val="0091386C"/>
    <w:rsid w:val="00925839"/>
    <w:rsid w:val="0095565B"/>
    <w:rsid w:val="009623D0"/>
    <w:rsid w:val="00972F6C"/>
    <w:rsid w:val="009960E9"/>
    <w:rsid w:val="009B331D"/>
    <w:rsid w:val="009B7062"/>
    <w:rsid w:val="009C6B2E"/>
    <w:rsid w:val="009E3CE0"/>
    <w:rsid w:val="009F5C0A"/>
    <w:rsid w:val="00A003D2"/>
    <w:rsid w:val="00A052EA"/>
    <w:rsid w:val="00A115C5"/>
    <w:rsid w:val="00A148C4"/>
    <w:rsid w:val="00A268C0"/>
    <w:rsid w:val="00A269DC"/>
    <w:rsid w:val="00A55354"/>
    <w:rsid w:val="00A60204"/>
    <w:rsid w:val="00A74D4E"/>
    <w:rsid w:val="00A8458C"/>
    <w:rsid w:val="00AA1E00"/>
    <w:rsid w:val="00AA250A"/>
    <w:rsid w:val="00AC45B6"/>
    <w:rsid w:val="00AD7C20"/>
    <w:rsid w:val="00AE60A0"/>
    <w:rsid w:val="00B23443"/>
    <w:rsid w:val="00B4540E"/>
    <w:rsid w:val="00B550AD"/>
    <w:rsid w:val="00B95424"/>
    <w:rsid w:val="00BA73CB"/>
    <w:rsid w:val="00BD4022"/>
    <w:rsid w:val="00BE6EBC"/>
    <w:rsid w:val="00BF19BA"/>
    <w:rsid w:val="00C204C9"/>
    <w:rsid w:val="00C34CEB"/>
    <w:rsid w:val="00C357A0"/>
    <w:rsid w:val="00C44E41"/>
    <w:rsid w:val="00C46472"/>
    <w:rsid w:val="00C6346E"/>
    <w:rsid w:val="00C83724"/>
    <w:rsid w:val="00C86AF9"/>
    <w:rsid w:val="00C93A8D"/>
    <w:rsid w:val="00C9762E"/>
    <w:rsid w:val="00CA19BA"/>
    <w:rsid w:val="00CC5D44"/>
    <w:rsid w:val="00CC6A8D"/>
    <w:rsid w:val="00CD32A4"/>
    <w:rsid w:val="00D05093"/>
    <w:rsid w:val="00D05423"/>
    <w:rsid w:val="00D465A1"/>
    <w:rsid w:val="00D557CA"/>
    <w:rsid w:val="00D80DF9"/>
    <w:rsid w:val="00D87935"/>
    <w:rsid w:val="00D93725"/>
    <w:rsid w:val="00DE3164"/>
    <w:rsid w:val="00DE4C49"/>
    <w:rsid w:val="00E3285E"/>
    <w:rsid w:val="00E4770B"/>
    <w:rsid w:val="00E541A5"/>
    <w:rsid w:val="00E866C8"/>
    <w:rsid w:val="00EA511C"/>
    <w:rsid w:val="00EB0781"/>
    <w:rsid w:val="00EC5FD2"/>
    <w:rsid w:val="00EE0976"/>
    <w:rsid w:val="00EE22CE"/>
    <w:rsid w:val="00EE6594"/>
    <w:rsid w:val="00EF2CBC"/>
    <w:rsid w:val="00EF2E48"/>
    <w:rsid w:val="00F1072A"/>
    <w:rsid w:val="00F24B6F"/>
    <w:rsid w:val="00F4146D"/>
    <w:rsid w:val="00F4206B"/>
    <w:rsid w:val="00F577C6"/>
    <w:rsid w:val="00F603B2"/>
    <w:rsid w:val="00F92EF2"/>
    <w:rsid w:val="00FA0536"/>
    <w:rsid w:val="00FA05B2"/>
    <w:rsid w:val="00FD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FA98"/>
  <w15:docId w15:val="{93384C02-0435-4DF4-B6F4-ACD032D7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C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C5"/>
    <w:pPr>
      <w:tabs>
        <w:tab w:val="center" w:pos="4680"/>
        <w:tab w:val="right" w:pos="9360"/>
      </w:tabs>
    </w:pPr>
    <w:rPr>
      <w:rFonts w:eastAsia="Times New Roman"/>
      <w:szCs w:val="28"/>
    </w:rPr>
  </w:style>
  <w:style w:type="character" w:customStyle="1" w:styleId="HeaderChar">
    <w:name w:val="Header Char"/>
    <w:basedOn w:val="DefaultParagraphFont"/>
    <w:link w:val="Header"/>
    <w:uiPriority w:val="99"/>
    <w:rsid w:val="00A115C5"/>
    <w:rPr>
      <w:rFonts w:ascii="Times New Roman" w:eastAsia="Times New Roman" w:hAnsi="Times New Roman" w:cs="Times New Roman"/>
      <w:sz w:val="28"/>
      <w:szCs w:val="28"/>
    </w:rPr>
  </w:style>
  <w:style w:type="paragraph" w:styleId="ListParagraph">
    <w:name w:val="List Paragraph"/>
    <w:basedOn w:val="Normal"/>
    <w:uiPriority w:val="34"/>
    <w:qFormat/>
    <w:rsid w:val="00A115C5"/>
    <w:pPr>
      <w:spacing w:line="360" w:lineRule="auto"/>
      <w:ind w:left="720"/>
      <w:contextualSpacing/>
      <w:jc w:val="both"/>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semiHidden/>
    <w:locked/>
    <w:rsid w:val="00A115C5"/>
    <w:rPr>
      <w:rFonts w:eastAsia="Times New Roman"/>
      <w:sz w:val="24"/>
      <w:szCs w:val="24"/>
      <w:lang w:val="x-none" w:eastAsia="x-none"/>
    </w:rPr>
  </w:style>
  <w:style w:type="paragraph" w:styleId="NormalWeb">
    <w:name w:val="Normal (Web)"/>
    <w:aliases w:val="Обычный (веб)1,Обычный (веб) Знак,Обычный (веб) Знак1,Обычный (веб) Знак Знак"/>
    <w:basedOn w:val="Normal"/>
    <w:link w:val="NormalWebChar"/>
    <w:uiPriority w:val="99"/>
    <w:semiHidden/>
    <w:unhideWhenUsed/>
    <w:rsid w:val="00A115C5"/>
    <w:pPr>
      <w:spacing w:before="100" w:beforeAutospacing="1" w:after="100" w:afterAutospacing="1"/>
    </w:pPr>
    <w:rPr>
      <w:rFonts w:asciiTheme="minorHAnsi" w:eastAsia="Times New Roman" w:hAnsiTheme="minorHAnsi" w:cstheme="minorBidi"/>
      <w:sz w:val="24"/>
      <w:szCs w:val="24"/>
      <w:lang w:val="x-none" w:eastAsia="x-none"/>
    </w:rPr>
  </w:style>
  <w:style w:type="paragraph" w:styleId="BodyTextIndent">
    <w:name w:val="Body Text Indent"/>
    <w:basedOn w:val="Normal"/>
    <w:link w:val="BodyTextIndentChar"/>
    <w:uiPriority w:val="99"/>
    <w:unhideWhenUsed/>
    <w:rsid w:val="00A115C5"/>
    <w:pPr>
      <w:spacing w:after="120"/>
      <w:ind w:left="360"/>
    </w:pPr>
    <w:rPr>
      <w:rFonts w:eastAsia="Times New Roman"/>
      <w:szCs w:val="28"/>
    </w:rPr>
  </w:style>
  <w:style w:type="character" w:customStyle="1" w:styleId="BodyTextIndentChar">
    <w:name w:val="Body Text Indent Char"/>
    <w:basedOn w:val="DefaultParagraphFont"/>
    <w:link w:val="BodyTextIndent"/>
    <w:uiPriority w:val="99"/>
    <w:rsid w:val="00A115C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003D2"/>
    <w:pPr>
      <w:tabs>
        <w:tab w:val="center" w:pos="4680"/>
        <w:tab w:val="right" w:pos="9360"/>
      </w:tabs>
    </w:pPr>
  </w:style>
  <w:style w:type="character" w:customStyle="1" w:styleId="FooterChar">
    <w:name w:val="Footer Char"/>
    <w:basedOn w:val="DefaultParagraphFont"/>
    <w:link w:val="Footer"/>
    <w:uiPriority w:val="99"/>
    <w:rsid w:val="00A003D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83</cp:revision>
  <dcterms:created xsi:type="dcterms:W3CDTF">2023-08-09T02:59:00Z</dcterms:created>
  <dcterms:modified xsi:type="dcterms:W3CDTF">2024-04-24T08:09:00Z</dcterms:modified>
</cp:coreProperties>
</file>